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B5" w:rsidRPr="00CD57B5" w:rsidRDefault="00CD57B5" w:rsidP="00CD57B5">
      <w:pPr>
        <w:spacing w:line="240" w:lineRule="auto"/>
        <w:jc w:val="center"/>
        <w:rPr>
          <w:rFonts w:ascii="Times New Roman" w:eastAsia="Calibri" w:hAnsi="Times New Roman" w:cs="Times New Roman"/>
          <w:b/>
          <w:sz w:val="24"/>
          <w:szCs w:val="24"/>
        </w:rPr>
      </w:pPr>
      <w:r w:rsidRPr="00CD57B5">
        <w:rPr>
          <w:rFonts w:ascii="Times New Roman" w:eastAsia="Calibri" w:hAnsi="Times New Roman" w:cs="Times New Roman"/>
          <w:b/>
          <w:sz w:val="24"/>
          <w:szCs w:val="24"/>
        </w:rPr>
        <w:t>Экспертное заключение</w:t>
      </w:r>
    </w:p>
    <w:p w:rsidR="00CD57B5" w:rsidRPr="00CD57B5" w:rsidRDefault="00CD57B5" w:rsidP="00CD57B5">
      <w:pPr>
        <w:spacing w:after="0" w:line="240" w:lineRule="auto"/>
        <w:ind w:left="634" w:hanging="634"/>
        <w:jc w:val="center"/>
        <w:rPr>
          <w:rFonts w:ascii="Times New Roman" w:eastAsia="Times New Roman" w:hAnsi="Times New Roman" w:cs="Times New Roman"/>
          <w:b/>
          <w:sz w:val="24"/>
          <w:szCs w:val="24"/>
          <w:lang w:eastAsia="ru-RU"/>
        </w:rPr>
      </w:pPr>
      <w:r w:rsidRPr="00CD57B5">
        <w:rPr>
          <w:rFonts w:ascii="Times New Roman" w:eastAsia="Times New Roman" w:hAnsi="Times New Roman" w:cs="Times New Roman"/>
          <w:b/>
          <w:sz w:val="24"/>
          <w:szCs w:val="24"/>
          <w:lang w:eastAsia="ru-RU"/>
        </w:rPr>
        <w:t>на программу</w:t>
      </w:r>
      <w:r w:rsidRPr="00CD57B5">
        <w:rPr>
          <w:rFonts w:ascii="Times New Roman" w:eastAsia="Times New Roman" w:hAnsi="Times New Roman" w:cs="Times New Roman"/>
          <w:b/>
          <w:bCs/>
          <w:iCs/>
          <w:color w:val="000000"/>
          <w:kern w:val="24"/>
          <w:sz w:val="24"/>
          <w:szCs w:val="24"/>
          <w:lang w:eastAsia="ru-RU"/>
        </w:rPr>
        <w:t xml:space="preserve"> деятельности «Путь к успеху»</w:t>
      </w:r>
      <w:r w:rsidRPr="00CD57B5">
        <w:rPr>
          <w:rFonts w:ascii="Times New Roman" w:eastAsia="+mn-ea" w:hAnsi="Times New Roman" w:cs="Times New Roman"/>
          <w:b/>
          <w:bCs/>
          <w:iCs/>
          <w:color w:val="000000"/>
          <w:kern w:val="24"/>
          <w:sz w:val="24"/>
          <w:szCs w:val="24"/>
          <w:lang w:eastAsia="ru-RU"/>
        </w:rPr>
        <w:t xml:space="preserve">, представленную на экспертизу </w:t>
      </w:r>
      <w:r w:rsidRPr="00CD57B5">
        <w:rPr>
          <w:rFonts w:ascii="Times New Roman" w:eastAsia="+mn-ea" w:hAnsi="Times New Roman" w:cs="Times New Roman"/>
          <w:b/>
          <w:bCs/>
          <w:color w:val="000000"/>
          <w:kern w:val="24"/>
          <w:sz w:val="24"/>
          <w:szCs w:val="24"/>
          <w:lang w:eastAsia="ru-RU"/>
        </w:rPr>
        <w:t>педагогом-организатором  муниципального автономного учреждения</w:t>
      </w:r>
    </w:p>
    <w:p w:rsidR="00CD57B5" w:rsidRPr="00CD57B5" w:rsidRDefault="00CD57B5" w:rsidP="00CD57B5">
      <w:pPr>
        <w:spacing w:after="0" w:line="240" w:lineRule="auto"/>
        <w:jc w:val="center"/>
        <w:rPr>
          <w:rFonts w:ascii="Times New Roman" w:eastAsia="Times New Roman" w:hAnsi="Times New Roman" w:cs="Times New Roman"/>
          <w:sz w:val="24"/>
          <w:szCs w:val="24"/>
          <w:lang w:eastAsia="ru-RU"/>
        </w:rPr>
      </w:pPr>
      <w:r w:rsidRPr="00CD57B5">
        <w:rPr>
          <w:rFonts w:ascii="Times New Roman" w:eastAsia="+mn-ea" w:hAnsi="Times New Roman" w:cs="Times New Roman"/>
          <w:b/>
          <w:bCs/>
          <w:color w:val="000000"/>
          <w:kern w:val="24"/>
          <w:sz w:val="24"/>
          <w:szCs w:val="24"/>
          <w:lang w:eastAsia="ru-RU"/>
        </w:rPr>
        <w:t>дополнительного образования Белоярского района «Дворец детского (юношеского) творчества г. Белоярский»  Натальей Валерьевной Пожидаевой</w:t>
      </w:r>
    </w:p>
    <w:p w:rsidR="00CD57B5" w:rsidRPr="00CD57B5" w:rsidRDefault="00CD57B5" w:rsidP="00CD57B5">
      <w:pPr>
        <w:spacing w:line="240" w:lineRule="auto"/>
        <w:rPr>
          <w:rFonts w:ascii="Times New Roman" w:eastAsia="Calibri" w:hAnsi="Times New Roman" w:cs="Times New Roman"/>
          <w:sz w:val="24"/>
          <w:szCs w:val="24"/>
        </w:rPr>
      </w:pPr>
    </w:p>
    <w:p w:rsidR="00CD57B5" w:rsidRPr="00CD57B5" w:rsidRDefault="00CD57B5" w:rsidP="00CD57B5">
      <w:pPr>
        <w:spacing w:line="360" w:lineRule="auto"/>
        <w:jc w:val="both"/>
        <w:rPr>
          <w:rFonts w:ascii="Times New Roman" w:eastAsia="Calibri" w:hAnsi="Times New Roman" w:cs="Times New Roman"/>
          <w:sz w:val="24"/>
          <w:szCs w:val="24"/>
        </w:rPr>
      </w:pPr>
      <w:r w:rsidRPr="00CD57B5">
        <w:rPr>
          <w:rFonts w:ascii="Times New Roman" w:eastAsia="Calibri" w:hAnsi="Times New Roman" w:cs="Times New Roman"/>
          <w:sz w:val="24"/>
          <w:szCs w:val="24"/>
        </w:rPr>
        <w:tab/>
        <w:t xml:space="preserve">Актуальность данной программы определяется, прежде всего, ее направленностью на реализацию социального заказа, сформировавшегося в современном обществе к учреждениям образования и в том числе, дополнительного образования, на воспитание и развитие компетентной, креативной, высоконравственной, ответственной личности будущего гражданина России. Опора автора на </w:t>
      </w:r>
      <w:proofErr w:type="spellStart"/>
      <w:r w:rsidRPr="00CD57B5">
        <w:rPr>
          <w:rFonts w:ascii="Times New Roman" w:eastAsia="Calibri" w:hAnsi="Times New Roman" w:cs="Times New Roman"/>
          <w:sz w:val="24"/>
          <w:szCs w:val="24"/>
        </w:rPr>
        <w:t>компетентностный</w:t>
      </w:r>
      <w:proofErr w:type="spellEnd"/>
      <w:r w:rsidRPr="00CD57B5">
        <w:rPr>
          <w:rFonts w:ascii="Times New Roman" w:eastAsia="Calibri" w:hAnsi="Times New Roman" w:cs="Times New Roman"/>
          <w:sz w:val="24"/>
          <w:szCs w:val="24"/>
        </w:rPr>
        <w:t xml:space="preserve"> и системно-</w:t>
      </w:r>
      <w:proofErr w:type="spellStart"/>
      <w:r w:rsidRPr="00CD57B5">
        <w:rPr>
          <w:rFonts w:ascii="Times New Roman" w:eastAsia="Calibri" w:hAnsi="Times New Roman" w:cs="Times New Roman"/>
          <w:sz w:val="24"/>
          <w:szCs w:val="24"/>
        </w:rPr>
        <w:t>деятельностный</w:t>
      </w:r>
      <w:proofErr w:type="spellEnd"/>
      <w:r w:rsidRPr="00CD57B5">
        <w:rPr>
          <w:rFonts w:ascii="Times New Roman" w:eastAsia="Calibri" w:hAnsi="Times New Roman" w:cs="Times New Roman"/>
          <w:sz w:val="24"/>
          <w:szCs w:val="24"/>
        </w:rPr>
        <w:t xml:space="preserve"> подход позволила аргументировано представить не только концептуальную основу программы, но и описать логику деятельности, гарантировано обеспечивающей достижение поставленных целей и описанных с точки зрения задач реализации ФГОС общего образования.  </w:t>
      </w:r>
    </w:p>
    <w:p w:rsidR="00CD57B5" w:rsidRPr="00CD57B5" w:rsidRDefault="00CD57B5" w:rsidP="00CD57B5">
      <w:pPr>
        <w:spacing w:after="0" w:line="360" w:lineRule="auto"/>
        <w:contextualSpacing/>
        <w:jc w:val="both"/>
        <w:rPr>
          <w:rFonts w:ascii="Times New Roman" w:eastAsia="Times New Roman" w:hAnsi="Times New Roman" w:cs="Times New Roman"/>
          <w:sz w:val="24"/>
          <w:szCs w:val="24"/>
          <w:lang w:eastAsia="ru-RU"/>
        </w:rPr>
      </w:pPr>
      <w:r w:rsidRPr="00CD57B5">
        <w:rPr>
          <w:rFonts w:ascii="Times New Roman" w:eastAsia="Times New Roman" w:hAnsi="Times New Roman" w:cs="Times New Roman"/>
          <w:sz w:val="24"/>
          <w:szCs w:val="24"/>
          <w:lang w:eastAsia="ru-RU"/>
        </w:rPr>
        <w:tab/>
        <w:t>Комплексный характер поставленной цели: «содействие духовно-нравственному развитию личности обучающихся и её социальной активности посредством формирования способностей к самореализации, самостоятельности и ответственности, социальному взаимодействию, коммуникативных, креативных и других компетенций» предполагает большой объем деятельности, реализуемой в многообразных формах по следующим направлениям: нравственно-эстетическое; гражданско-патриотическое; экологическое; досуговое.</w:t>
      </w:r>
    </w:p>
    <w:p w:rsidR="00CD57B5" w:rsidRPr="00CD57B5" w:rsidRDefault="00CD57B5" w:rsidP="00CD57B5">
      <w:pPr>
        <w:spacing w:after="0" w:line="360" w:lineRule="auto"/>
        <w:ind w:firstLine="708"/>
        <w:jc w:val="both"/>
        <w:rPr>
          <w:rFonts w:ascii="Times New Roman" w:eastAsia="Times New Roman" w:hAnsi="Times New Roman" w:cs="Times New Roman"/>
          <w:sz w:val="24"/>
          <w:szCs w:val="24"/>
          <w:lang w:eastAsia="ru-RU"/>
        </w:rPr>
      </w:pPr>
      <w:r w:rsidRPr="00CD57B5">
        <w:rPr>
          <w:rFonts w:ascii="Times New Roman" w:eastAsia="Times New Roman" w:hAnsi="Times New Roman" w:cs="Times New Roman"/>
          <w:sz w:val="24"/>
          <w:szCs w:val="24"/>
          <w:lang w:eastAsia="ru-RU"/>
        </w:rPr>
        <w:t xml:space="preserve">Ожидаемые результаты программы в полной мере соответствуют поставленной цели,  задачам и содержанию. Автором убедительно обоснована продолжительность реализации программы (3 года). Содержание программы в полной мере соответствует  заявленному возрасту (10-17 лет)  и позволяет получить представление о содержании и формах реализации авторского замысла. Вариативность содержания программы, возможность выбора и построения индивидуальной образовательной траектории воспитанника придают программе особую ценность. </w:t>
      </w:r>
      <w:proofErr w:type="spellStart"/>
      <w:r w:rsidRPr="00CD57B5">
        <w:rPr>
          <w:rFonts w:ascii="Times New Roman" w:eastAsia="Times New Roman" w:hAnsi="Times New Roman" w:cs="Times New Roman"/>
          <w:sz w:val="24"/>
          <w:szCs w:val="24"/>
          <w:lang w:eastAsia="ru-RU"/>
        </w:rPr>
        <w:t>Интегративность</w:t>
      </w:r>
      <w:proofErr w:type="spellEnd"/>
      <w:r w:rsidRPr="00CD57B5">
        <w:rPr>
          <w:rFonts w:ascii="Times New Roman" w:eastAsia="Times New Roman" w:hAnsi="Times New Roman" w:cs="Times New Roman"/>
          <w:sz w:val="24"/>
          <w:szCs w:val="24"/>
          <w:lang w:eastAsia="ru-RU"/>
        </w:rPr>
        <w:t>, преемственность содержания программы, взаимосвязь с другими типами образовательных программ и учреждений-партнеров, высокий уровень предполагаемого обеспечения сетевого взаимодействия  позволяют надеяться на высокую результативность описанной деятельности. Представленная модель управления процессом реализации программы убедительна.</w:t>
      </w:r>
    </w:p>
    <w:p w:rsidR="00CD57B5" w:rsidRPr="00CD57B5" w:rsidRDefault="00CD57B5" w:rsidP="00CD57B5">
      <w:pPr>
        <w:spacing w:after="0" w:line="360" w:lineRule="auto"/>
        <w:ind w:firstLine="708"/>
        <w:jc w:val="both"/>
        <w:rPr>
          <w:rFonts w:ascii="Times New Roman" w:eastAsia="Times New Roman" w:hAnsi="Times New Roman" w:cs="Times New Roman"/>
          <w:sz w:val="24"/>
          <w:szCs w:val="24"/>
          <w:lang w:eastAsia="ru-RU"/>
        </w:rPr>
      </w:pPr>
      <w:r w:rsidRPr="00CD57B5">
        <w:rPr>
          <w:rFonts w:ascii="Times New Roman" w:eastAsia="Times New Roman" w:hAnsi="Times New Roman" w:cs="Times New Roman"/>
          <w:sz w:val="24"/>
          <w:szCs w:val="24"/>
          <w:lang w:eastAsia="ru-RU"/>
        </w:rPr>
        <w:t xml:space="preserve">Автор убедительно обосновал критерии и технологии отслеживания результатов программы, представив их перечень, который позволяет надеяться на возможность </w:t>
      </w:r>
      <w:r w:rsidRPr="00CD57B5">
        <w:rPr>
          <w:rFonts w:ascii="Times New Roman" w:eastAsia="Times New Roman" w:hAnsi="Times New Roman" w:cs="Times New Roman"/>
          <w:sz w:val="24"/>
          <w:szCs w:val="24"/>
          <w:lang w:eastAsia="ru-RU"/>
        </w:rPr>
        <w:lastRenderedPageBreak/>
        <w:t xml:space="preserve">своевременной корректировки программы в случае необходимости. Диагностический пакет материалов убедительно свидетельствует о профессионализме разработчика, уровне его компетентности, но, к сожалению, не сопровождается ссылками на источники, откуда данные методики были взяты, поскольку не являются продуктом его авторской деятельности. Кроме того, вызывает сожаление, что при достаточно хорошо написанном тексте программы, раскрывающем авторский замысел, он не счел необходимым сослаться на современный круг источников, которые были востребованы в процессе ее разработки. Практически все источники опубликованы позже 5 лет, то есть не актуальны. Не представлены работы по ФГОС, по теории </w:t>
      </w:r>
      <w:proofErr w:type="spellStart"/>
      <w:r w:rsidRPr="00CD57B5">
        <w:rPr>
          <w:rFonts w:ascii="Times New Roman" w:eastAsia="Times New Roman" w:hAnsi="Times New Roman" w:cs="Times New Roman"/>
          <w:sz w:val="24"/>
          <w:szCs w:val="24"/>
          <w:lang w:eastAsia="ru-RU"/>
        </w:rPr>
        <w:t>компетентностного</w:t>
      </w:r>
      <w:proofErr w:type="spellEnd"/>
      <w:r w:rsidRPr="00CD57B5">
        <w:rPr>
          <w:rFonts w:ascii="Times New Roman" w:eastAsia="Times New Roman" w:hAnsi="Times New Roman" w:cs="Times New Roman"/>
          <w:sz w:val="24"/>
          <w:szCs w:val="24"/>
          <w:lang w:eastAsia="ru-RU"/>
        </w:rPr>
        <w:t xml:space="preserve"> и системно-</w:t>
      </w:r>
      <w:proofErr w:type="spellStart"/>
      <w:r w:rsidRPr="00CD57B5">
        <w:rPr>
          <w:rFonts w:ascii="Times New Roman" w:eastAsia="Times New Roman" w:hAnsi="Times New Roman" w:cs="Times New Roman"/>
          <w:sz w:val="24"/>
          <w:szCs w:val="24"/>
          <w:lang w:eastAsia="ru-RU"/>
        </w:rPr>
        <w:t>деятельностного</w:t>
      </w:r>
      <w:proofErr w:type="spellEnd"/>
      <w:r w:rsidRPr="00CD57B5">
        <w:rPr>
          <w:rFonts w:ascii="Times New Roman" w:eastAsia="Times New Roman" w:hAnsi="Times New Roman" w:cs="Times New Roman"/>
          <w:sz w:val="24"/>
          <w:szCs w:val="24"/>
          <w:lang w:eastAsia="ru-RU"/>
        </w:rPr>
        <w:t xml:space="preserve"> подходов, к положениям которых активно </w:t>
      </w:r>
      <w:proofErr w:type="spellStart"/>
      <w:r w:rsidRPr="00CD57B5">
        <w:rPr>
          <w:rFonts w:ascii="Times New Roman" w:eastAsia="Times New Roman" w:hAnsi="Times New Roman" w:cs="Times New Roman"/>
          <w:sz w:val="24"/>
          <w:szCs w:val="24"/>
          <w:lang w:eastAsia="ru-RU"/>
        </w:rPr>
        <w:t>аппелирует</w:t>
      </w:r>
      <w:proofErr w:type="spellEnd"/>
      <w:r w:rsidRPr="00CD57B5">
        <w:rPr>
          <w:rFonts w:ascii="Times New Roman" w:eastAsia="Times New Roman" w:hAnsi="Times New Roman" w:cs="Times New Roman"/>
          <w:sz w:val="24"/>
          <w:szCs w:val="24"/>
          <w:lang w:eastAsia="ru-RU"/>
        </w:rPr>
        <w:t xml:space="preserve"> автор. Цитаты в тексте не снабжены ссылками. В программе не в полной мере описаны условия ее реализации.</w:t>
      </w:r>
    </w:p>
    <w:p w:rsidR="00CD57B5" w:rsidRPr="00CD57B5" w:rsidRDefault="00CD57B5" w:rsidP="00CD57B5">
      <w:pPr>
        <w:spacing w:after="0" w:line="360" w:lineRule="auto"/>
        <w:ind w:firstLine="708"/>
        <w:jc w:val="both"/>
        <w:rPr>
          <w:rFonts w:ascii="Times New Roman" w:eastAsia="+mn-ea" w:hAnsi="Times New Roman" w:cs="Times New Roman"/>
          <w:bCs/>
          <w:color w:val="000000"/>
          <w:kern w:val="24"/>
          <w:sz w:val="24"/>
          <w:szCs w:val="24"/>
          <w:lang w:eastAsia="ru-RU"/>
        </w:rPr>
      </w:pPr>
      <w:r w:rsidRPr="00CD57B5">
        <w:rPr>
          <w:rFonts w:ascii="Times New Roman" w:eastAsia="Times New Roman" w:hAnsi="Times New Roman" w:cs="Times New Roman"/>
          <w:sz w:val="24"/>
          <w:szCs w:val="24"/>
          <w:lang w:eastAsia="ru-RU"/>
        </w:rPr>
        <w:t>Данные замечания могут быть исправлены в рабочем порядке и не снижают позитивной  оценки представленной программы, отвечающей как интересам развития личности воспитанника, так и интересам развития общества. Это позволяет сделать вывод о том, что программа</w:t>
      </w:r>
      <w:r w:rsidRPr="00CD57B5">
        <w:rPr>
          <w:rFonts w:ascii="Times New Roman" w:eastAsia="Times New Roman" w:hAnsi="Times New Roman" w:cs="Times New Roman"/>
          <w:bCs/>
          <w:iCs/>
          <w:color w:val="000000"/>
          <w:kern w:val="24"/>
          <w:sz w:val="24"/>
          <w:szCs w:val="24"/>
          <w:lang w:eastAsia="ru-RU"/>
        </w:rPr>
        <w:t xml:space="preserve"> деятельности «Пусть к успеху»</w:t>
      </w:r>
      <w:r w:rsidRPr="00CD57B5">
        <w:rPr>
          <w:rFonts w:ascii="Times New Roman" w:eastAsia="+mn-ea" w:hAnsi="Times New Roman" w:cs="Times New Roman"/>
          <w:bCs/>
          <w:iCs/>
          <w:color w:val="000000"/>
          <w:kern w:val="24"/>
          <w:sz w:val="24"/>
          <w:szCs w:val="24"/>
          <w:lang w:eastAsia="ru-RU"/>
        </w:rPr>
        <w:t xml:space="preserve">, представленная  </w:t>
      </w:r>
      <w:r w:rsidRPr="00CD57B5">
        <w:rPr>
          <w:rFonts w:ascii="Times New Roman" w:eastAsia="+mn-ea" w:hAnsi="Times New Roman" w:cs="Times New Roman"/>
          <w:bCs/>
          <w:color w:val="000000"/>
          <w:kern w:val="24"/>
          <w:sz w:val="24"/>
          <w:szCs w:val="24"/>
          <w:lang w:eastAsia="ru-RU"/>
        </w:rPr>
        <w:t>педагогом-организатором   муниципального автономного учреждения дополнительного образования Белоярского района «Дворец детского (юношеского) творчества г. Белоярский» Натальей Валерьевной Пожидаевой соответствует предъявляемым требованиям и может быть рекомендована к реализации.</w:t>
      </w:r>
    </w:p>
    <w:p w:rsidR="00CD57B5" w:rsidRPr="00CD57B5" w:rsidRDefault="00CD57B5" w:rsidP="00CD57B5">
      <w:pPr>
        <w:spacing w:after="0" w:line="360" w:lineRule="auto"/>
        <w:ind w:firstLine="709"/>
        <w:jc w:val="both"/>
        <w:rPr>
          <w:rFonts w:ascii="Times New Roman" w:eastAsia="+mn-ea" w:hAnsi="Times New Roman" w:cs="Times New Roman"/>
          <w:bCs/>
          <w:color w:val="000000"/>
          <w:kern w:val="24"/>
          <w:sz w:val="24"/>
          <w:szCs w:val="24"/>
          <w:lang w:eastAsia="ru-RU"/>
        </w:rPr>
      </w:pPr>
    </w:p>
    <w:p w:rsidR="00CD57B5" w:rsidRPr="00CD57B5" w:rsidRDefault="00CD57B5" w:rsidP="00CD57B5">
      <w:pPr>
        <w:spacing w:after="0" w:line="360" w:lineRule="auto"/>
        <w:ind w:firstLine="709"/>
        <w:jc w:val="both"/>
        <w:rPr>
          <w:rFonts w:ascii="Times New Roman" w:eastAsia="+mn-ea" w:hAnsi="Times New Roman" w:cs="+mn-cs"/>
          <w:bCs/>
          <w:color w:val="000000"/>
          <w:kern w:val="24"/>
          <w:sz w:val="24"/>
          <w:szCs w:val="24"/>
          <w:lang w:eastAsia="ru-RU"/>
        </w:rPr>
      </w:pPr>
    </w:p>
    <w:p w:rsidR="00CD57B5" w:rsidRPr="00CD57B5" w:rsidRDefault="00CD57B5" w:rsidP="00CD57B5">
      <w:pPr>
        <w:spacing w:after="0" w:line="360" w:lineRule="auto"/>
        <w:jc w:val="both"/>
        <w:rPr>
          <w:rFonts w:ascii="Times New Roman" w:eastAsia="+mn-ea" w:hAnsi="Times New Roman" w:cs="+mn-cs"/>
          <w:bCs/>
          <w:color w:val="000000"/>
          <w:kern w:val="24"/>
          <w:sz w:val="24"/>
          <w:szCs w:val="24"/>
          <w:lang w:eastAsia="ru-RU"/>
        </w:rPr>
      </w:pPr>
      <w:r w:rsidRPr="00CD57B5">
        <w:rPr>
          <w:rFonts w:ascii="Times New Roman" w:eastAsia="+mn-ea" w:hAnsi="Times New Roman" w:cs="+mn-cs"/>
          <w:bCs/>
          <w:color w:val="000000"/>
          <w:kern w:val="24"/>
          <w:sz w:val="24"/>
          <w:szCs w:val="24"/>
          <w:lang w:eastAsia="ru-RU"/>
        </w:rPr>
        <w:t>Эксперт,</w:t>
      </w:r>
    </w:p>
    <w:p w:rsidR="00CD57B5" w:rsidRPr="00CD57B5" w:rsidRDefault="00CD57B5" w:rsidP="00CD57B5">
      <w:pPr>
        <w:spacing w:after="0" w:line="360" w:lineRule="auto"/>
        <w:jc w:val="both"/>
        <w:rPr>
          <w:rFonts w:ascii="Times New Roman" w:eastAsia="+mn-ea" w:hAnsi="Times New Roman" w:cs="+mn-cs"/>
          <w:bCs/>
          <w:color w:val="000000"/>
          <w:kern w:val="24"/>
          <w:sz w:val="24"/>
          <w:szCs w:val="24"/>
          <w:lang w:eastAsia="ru-RU"/>
        </w:rPr>
      </w:pPr>
      <w:r w:rsidRPr="00CD57B5">
        <w:rPr>
          <w:rFonts w:ascii="Times New Roman" w:eastAsia="+mn-ea" w:hAnsi="Times New Roman" w:cs="+mn-cs"/>
          <w:bCs/>
          <w:color w:val="000000"/>
          <w:kern w:val="24"/>
          <w:sz w:val="24"/>
          <w:szCs w:val="24"/>
          <w:lang w:eastAsia="ru-RU"/>
        </w:rPr>
        <w:t>Зав. кафедрой педагогики</w:t>
      </w:r>
    </w:p>
    <w:p w:rsidR="00CD57B5" w:rsidRPr="00CD57B5" w:rsidRDefault="00CD57B5" w:rsidP="00CD57B5">
      <w:pPr>
        <w:spacing w:after="0" w:line="360" w:lineRule="auto"/>
        <w:jc w:val="both"/>
        <w:rPr>
          <w:rFonts w:ascii="Times New Roman" w:eastAsia="+mn-ea" w:hAnsi="Times New Roman" w:cs="+mn-cs"/>
          <w:bCs/>
          <w:color w:val="000000"/>
          <w:kern w:val="24"/>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posOffset>3657600</wp:posOffset>
            </wp:positionH>
            <wp:positionV relativeFrom="paragraph">
              <wp:posOffset>635</wp:posOffset>
            </wp:positionV>
            <wp:extent cx="1473200" cy="565785"/>
            <wp:effectExtent l="0" t="0" r="0" b="5715"/>
            <wp:wrapNone/>
            <wp:docPr id="2" name="Рисунок 2" descr="Автограф В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втограф Вер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320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7B5">
        <w:rPr>
          <w:rFonts w:ascii="Times New Roman" w:eastAsia="+mn-ea" w:hAnsi="Times New Roman" w:cs="+mn-cs"/>
          <w:bCs/>
          <w:color w:val="000000"/>
          <w:kern w:val="24"/>
          <w:sz w:val="24"/>
          <w:szCs w:val="24"/>
          <w:lang w:eastAsia="ru-RU"/>
        </w:rPr>
        <w:t>ГБОУ ВПО «</w:t>
      </w:r>
      <w:proofErr w:type="spellStart"/>
      <w:r w:rsidRPr="00CD57B5">
        <w:rPr>
          <w:rFonts w:ascii="Times New Roman" w:eastAsia="+mn-ea" w:hAnsi="Times New Roman" w:cs="+mn-cs"/>
          <w:bCs/>
          <w:color w:val="000000"/>
          <w:kern w:val="24"/>
          <w:sz w:val="24"/>
          <w:szCs w:val="24"/>
          <w:lang w:eastAsia="ru-RU"/>
        </w:rPr>
        <w:t>Сургутский</w:t>
      </w:r>
      <w:proofErr w:type="spellEnd"/>
      <w:r w:rsidRPr="00CD57B5">
        <w:rPr>
          <w:rFonts w:ascii="Times New Roman" w:eastAsia="+mn-ea" w:hAnsi="Times New Roman" w:cs="+mn-cs"/>
          <w:bCs/>
          <w:color w:val="000000"/>
          <w:kern w:val="24"/>
          <w:sz w:val="24"/>
          <w:szCs w:val="24"/>
          <w:lang w:eastAsia="ru-RU"/>
        </w:rPr>
        <w:t xml:space="preserve"> государственный университет</w:t>
      </w:r>
    </w:p>
    <w:p w:rsidR="00CD57B5" w:rsidRPr="00CD57B5" w:rsidRDefault="00CD57B5" w:rsidP="00CD57B5">
      <w:pPr>
        <w:spacing w:after="0" w:line="360" w:lineRule="auto"/>
        <w:jc w:val="both"/>
        <w:rPr>
          <w:rFonts w:ascii="Times New Roman" w:eastAsia="Times New Roman" w:hAnsi="Times New Roman" w:cs="Times New Roman"/>
          <w:sz w:val="24"/>
          <w:szCs w:val="24"/>
          <w:lang w:eastAsia="ru-RU"/>
        </w:rPr>
      </w:pPr>
      <w:r w:rsidRPr="00CD57B5">
        <w:rPr>
          <w:rFonts w:ascii="Times New Roman" w:eastAsia="+mn-ea" w:hAnsi="Times New Roman" w:cs="+mn-cs"/>
          <w:bCs/>
          <w:color w:val="000000"/>
          <w:kern w:val="24"/>
          <w:sz w:val="24"/>
          <w:szCs w:val="24"/>
          <w:lang w:eastAsia="ru-RU"/>
        </w:rPr>
        <w:t xml:space="preserve">ХМАО-Югры», доктор педагогических наук, профессор                                       </w:t>
      </w:r>
      <w:proofErr w:type="spellStart"/>
      <w:r w:rsidRPr="00CD57B5">
        <w:rPr>
          <w:rFonts w:ascii="Times New Roman" w:eastAsia="+mn-ea" w:hAnsi="Times New Roman" w:cs="+mn-cs"/>
          <w:bCs/>
          <w:color w:val="000000"/>
          <w:kern w:val="24"/>
          <w:sz w:val="24"/>
          <w:szCs w:val="24"/>
          <w:lang w:eastAsia="ru-RU"/>
        </w:rPr>
        <w:t>В.Д.Повзун</w:t>
      </w:r>
      <w:proofErr w:type="spellEnd"/>
      <w:r w:rsidRPr="00CD57B5">
        <w:rPr>
          <w:rFonts w:ascii="Times New Roman" w:eastAsia="Times New Roman" w:hAnsi="Times New Roman" w:cs="Times New Roman"/>
          <w:sz w:val="24"/>
          <w:szCs w:val="24"/>
          <w:lang w:eastAsia="ru-RU"/>
        </w:rPr>
        <w:t xml:space="preserve"> </w:t>
      </w:r>
    </w:p>
    <w:p w:rsidR="00CD57B5" w:rsidRPr="00CD57B5" w:rsidRDefault="00CD57B5" w:rsidP="00CD57B5">
      <w:pPr>
        <w:rPr>
          <w:rFonts w:ascii="Calibri" w:eastAsia="Calibri" w:hAnsi="Calibri" w:cs="Times New Roman"/>
        </w:rPr>
      </w:pPr>
    </w:p>
    <w:p w:rsidR="00E6561F" w:rsidRDefault="00CD57B5" w:rsidP="00CD57B5">
      <w:r>
        <w:rPr>
          <w:rFonts w:ascii="Calibri" w:eastAsia="Calibri" w:hAnsi="Calibri" w:cs="Times New Roman"/>
          <w:noProof/>
          <w:lang w:eastAsia="ru-RU"/>
        </w:rPr>
        <w:drawing>
          <wp:inline distT="0" distB="0" distL="0" distR="0">
            <wp:extent cx="5607050" cy="1475105"/>
            <wp:effectExtent l="0" t="0" r="0" b="0"/>
            <wp:docPr id="1" name="Рисунок 1" descr="Автограф в Белоярски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граф в Белоярский 3"/>
                    <pic:cNvPicPr>
                      <a:picLocks noChangeAspect="1" noChangeArrowheads="1"/>
                    </pic:cNvPicPr>
                  </pic:nvPicPr>
                  <pic:blipFill>
                    <a:blip r:embed="rId6" cstate="print">
                      <a:extLst>
                        <a:ext uri="{28A0092B-C50C-407E-A947-70E740481C1C}">
                          <a14:useLocalDpi xmlns:a14="http://schemas.microsoft.com/office/drawing/2010/main" val="0"/>
                        </a:ext>
                      </a:extLst>
                    </a:blip>
                    <a:srcRect l="5212"/>
                    <a:stretch>
                      <a:fillRect/>
                    </a:stretch>
                  </pic:blipFill>
                  <pic:spPr bwMode="auto">
                    <a:xfrm>
                      <a:off x="0" y="0"/>
                      <a:ext cx="5607050" cy="1475105"/>
                    </a:xfrm>
                    <a:prstGeom prst="rect">
                      <a:avLst/>
                    </a:prstGeom>
                    <a:noFill/>
                    <a:ln>
                      <a:noFill/>
                    </a:ln>
                  </pic:spPr>
                </pic:pic>
              </a:graphicData>
            </a:graphic>
          </wp:inline>
        </w:drawing>
      </w:r>
      <w:bookmarkStart w:id="0" w:name="_GoBack"/>
      <w:bookmarkEnd w:id="0"/>
    </w:p>
    <w:sectPr w:rsidR="00E65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B5"/>
    <w:rsid w:val="00CD57B5"/>
    <w:rsid w:val="00E6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2015-02-17T13:59:00Z</dcterms:created>
  <dcterms:modified xsi:type="dcterms:W3CDTF">2015-02-17T13:59:00Z</dcterms:modified>
</cp:coreProperties>
</file>